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jc w:val="center"/>
        <w:rPr>
          <w:rFonts w:ascii="Arial" w:hAnsi="Arial" w:cs="Arial"/>
          <w:b/>
          <w:sz w:val="24"/>
          <w:szCs w:val="24"/>
        </w:rPr>
      </w:pPr>
      <w:r>
        <w:rPr>
          <w:rFonts w:ascii="Arial" w:hAnsi="Arial" w:cs="Arial"/>
          <w:b/>
          <w:sz w:val="24"/>
          <w:szCs w:val="24"/>
        </w:rPr>
        <w:t>COST PROPOSAL</w:t>
      </w:r>
    </w:p>
    <w:p>
      <w:pPr>
        <w:spacing w:after="0"/>
        <w:jc w:val="center"/>
        <w:rPr>
          <w:rFonts w:ascii="Arial" w:hAnsi="Arial" w:cs="Arial"/>
          <w:sz w:val="24"/>
          <w:szCs w:val="24"/>
        </w:rPr>
      </w:pPr>
      <w:r>
        <w:rPr>
          <w:rFonts w:ascii="Arial" w:hAnsi="Arial" w:cs="Arial"/>
          <w:sz w:val="24"/>
          <w:szCs w:val="24"/>
        </w:rPr>
        <w:t>CSE Call Center</w:t>
      </w:r>
    </w:p>
    <w:p>
      <w:pPr>
        <w:spacing w:after="0"/>
        <w:jc w:val="center"/>
        <w:rPr>
          <w:rFonts w:ascii="Arial" w:hAnsi="Arial" w:cs="Arial"/>
          <w:sz w:val="24"/>
          <w:szCs w:val="24"/>
        </w:rPr>
      </w:pPr>
      <w:r>
        <w:rPr>
          <w:rFonts w:ascii="Arial" w:hAnsi="Arial" w:cs="Arial"/>
          <w:sz w:val="24"/>
          <w:szCs w:val="24"/>
        </w:rPr>
        <w:t>RFP 116829 03 Z1</w:t>
      </w:r>
    </w:p>
    <w:p>
      <w:pPr>
        <w:spacing w:after="0"/>
        <w:jc w:val="center"/>
        <w:rPr>
          <w:rFonts w:ascii="Arial" w:hAnsi="Arial" w:cs="Arial"/>
          <w:sz w:val="24"/>
          <w:szCs w:val="24"/>
        </w:rPr>
      </w:pPr>
    </w:p>
    <w:p>
      <w:pPr>
        <w:spacing w:after="0"/>
        <w:jc w:val="center"/>
        <w:rPr>
          <w:rFonts w:ascii="Arial" w:hAnsi="Arial" w:cs="Arial"/>
          <w:sz w:val="24"/>
          <w:szCs w:val="24"/>
        </w:rPr>
      </w:pPr>
    </w:p>
    <w:p>
      <w:pPr>
        <w:spacing w:after="0"/>
        <w:jc w:val="center"/>
        <w:rPr>
          <w:rFonts w:ascii="Arial" w:hAnsi="Arial" w:cs="Arial"/>
          <w:sz w:val="24"/>
          <w:szCs w:val="24"/>
        </w:rPr>
      </w:pPr>
      <w:r>
        <w:rPr>
          <w:rFonts w:ascii="Arial" w:hAnsi="Arial" w:cs="Arial"/>
          <w:sz w:val="24"/>
          <w:szCs w:val="24"/>
        </w:rPr>
        <w:t xml:space="preserve">Bidder’s </w:t>
      </w:r>
      <w:proofErr w:type="gramStart"/>
      <w:r>
        <w:rPr>
          <w:rFonts w:ascii="Arial" w:hAnsi="Arial" w:cs="Arial"/>
          <w:sz w:val="24"/>
          <w:szCs w:val="24"/>
        </w:rPr>
        <w:t>Name:_</w:t>
      </w:r>
      <w:proofErr w:type="gramEnd"/>
      <w:r>
        <w:rPr>
          <w:rFonts w:ascii="Arial" w:hAnsi="Arial" w:cs="Arial"/>
          <w:sz w:val="24"/>
          <w:szCs w:val="24"/>
        </w:rPr>
        <w:t xml:space="preserve">_________________________________________________________________________ </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Bidder to complete the following cost proposal, which shall include all costs of staffing including labor, employee benefits and all statutory employments costs and all other direct costs of operating the call center as described in Section V. of the RFP. </w:t>
      </w:r>
    </w:p>
    <w:p>
      <w:pPr>
        <w:spacing w:after="0"/>
        <w:rPr>
          <w:rFonts w:ascii="Arial" w:hAnsi="Arial" w:cs="Arial"/>
          <w:sz w:val="24"/>
          <w:szCs w:val="24"/>
        </w:rPr>
      </w:pPr>
    </w:p>
    <w:tbl>
      <w:tblPr>
        <w:tblStyle w:val="TableGrid"/>
        <w:tblW w:w="12955" w:type="dxa"/>
        <w:tblLook w:val="04A0" w:firstRow="1" w:lastRow="0" w:firstColumn="1" w:lastColumn="0" w:noHBand="0" w:noVBand="1"/>
      </w:tblPr>
      <w:tblGrid>
        <w:gridCol w:w="9985"/>
        <w:gridCol w:w="2970"/>
      </w:tblGrid>
      <w:tr>
        <w:tc>
          <w:tcPr>
            <w:tcW w:w="9985" w:type="dxa"/>
          </w:tcPr>
          <w:p>
            <w:pPr>
              <w:rPr>
                <w:rFonts w:ascii="Arial" w:hAnsi="Arial" w:cs="Arial"/>
                <w:b/>
                <w:sz w:val="24"/>
                <w:szCs w:val="24"/>
              </w:rPr>
            </w:pPr>
            <w:r>
              <w:rPr>
                <w:rFonts w:ascii="Arial" w:hAnsi="Arial" w:cs="Arial"/>
                <w:b/>
                <w:sz w:val="24"/>
                <w:szCs w:val="24"/>
              </w:rPr>
              <w:t>DESCRIPTION: Annual Fixed Prices for Years 1 through 5.</w:t>
            </w:r>
          </w:p>
        </w:tc>
        <w:tc>
          <w:tcPr>
            <w:tcW w:w="2970" w:type="dxa"/>
            <w:vAlign w:val="center"/>
          </w:tcPr>
          <w:p>
            <w:pPr>
              <w:jc w:val="center"/>
              <w:rPr>
                <w:rFonts w:ascii="Arial" w:hAnsi="Arial" w:cs="Arial"/>
                <w:b/>
                <w:sz w:val="24"/>
                <w:szCs w:val="24"/>
              </w:rPr>
            </w:pPr>
            <w:r>
              <w:rPr>
                <w:rFonts w:ascii="Arial" w:hAnsi="Arial" w:cs="Arial"/>
                <w:b/>
                <w:sz w:val="24"/>
                <w:szCs w:val="24"/>
              </w:rPr>
              <w:t>COST</w:t>
            </w:r>
          </w:p>
        </w:tc>
      </w:tr>
      <w:tr>
        <w:trPr>
          <w:trHeight w:val="737"/>
        </w:trPr>
        <w:tc>
          <w:tcPr>
            <w:tcW w:w="9985" w:type="dxa"/>
            <w:vAlign w:val="center"/>
          </w:tcPr>
          <w:p>
            <w:pPr>
              <w:rPr>
                <w:rFonts w:ascii="Arial" w:hAnsi="Arial" w:cs="Arial"/>
              </w:rPr>
            </w:pPr>
            <w:r>
              <w:rPr>
                <w:rFonts w:ascii="Arial" w:hAnsi="Arial" w:cs="Arial"/>
              </w:rPr>
              <w:t>Year 1: October 1, 2023 – September 30, 2024</w:t>
            </w:r>
          </w:p>
        </w:tc>
        <w:tc>
          <w:tcPr>
            <w:tcW w:w="2970" w:type="dxa"/>
            <w:vAlign w:val="center"/>
          </w:tcPr>
          <w:p>
            <w:pPr>
              <w:rPr>
                <w:rFonts w:ascii="Arial" w:hAnsi="Arial" w:cs="Arial"/>
                <w:sz w:val="24"/>
                <w:szCs w:val="24"/>
              </w:rPr>
            </w:pPr>
            <w:r>
              <w:rPr>
                <w:rFonts w:ascii="Arial" w:hAnsi="Arial" w:cs="Arial"/>
                <w:sz w:val="24"/>
                <w:szCs w:val="24"/>
              </w:rPr>
              <w:t>$</w:t>
            </w:r>
          </w:p>
        </w:tc>
      </w:tr>
      <w:tr>
        <w:trPr>
          <w:cantSplit/>
          <w:trHeight w:val="800"/>
          <w:tblHeader/>
        </w:trPr>
        <w:tc>
          <w:tcPr>
            <w:tcW w:w="9985" w:type="dxa"/>
          </w:tcPr>
          <w:p>
            <w:pPr>
              <w:rPr>
                <w:rFonts w:ascii="Arial" w:hAnsi="Arial" w:cs="Arial"/>
              </w:rPr>
            </w:pPr>
          </w:p>
          <w:p>
            <w:pPr>
              <w:rPr>
                <w:rFonts w:ascii="Arial" w:hAnsi="Arial" w:cs="Arial"/>
              </w:rPr>
            </w:pPr>
            <w:r>
              <w:rPr>
                <w:rFonts w:ascii="Arial" w:hAnsi="Arial" w:cs="Arial"/>
              </w:rPr>
              <w:t>Year 2: October 1, 2024 - September 30, 2025</w:t>
            </w:r>
          </w:p>
        </w:tc>
        <w:tc>
          <w:tcPr>
            <w:tcW w:w="2970" w:type="dxa"/>
            <w:vAlign w:val="center"/>
          </w:tcPr>
          <w:p>
            <w:pPr>
              <w:rPr>
                <w:rFonts w:ascii="Arial" w:hAnsi="Arial" w:cs="Arial"/>
                <w:sz w:val="24"/>
                <w:szCs w:val="24"/>
              </w:rPr>
            </w:pPr>
            <w:r>
              <w:rPr>
                <w:rFonts w:ascii="Arial" w:hAnsi="Arial" w:cs="Arial"/>
                <w:sz w:val="24"/>
                <w:szCs w:val="24"/>
              </w:rPr>
              <w:t>$</w:t>
            </w:r>
          </w:p>
        </w:tc>
      </w:tr>
      <w:tr>
        <w:trPr>
          <w:cantSplit/>
          <w:trHeight w:val="800"/>
          <w:tblHeader/>
        </w:trPr>
        <w:tc>
          <w:tcPr>
            <w:tcW w:w="9985" w:type="dxa"/>
          </w:tcPr>
          <w:p>
            <w:pPr>
              <w:pStyle w:val="ListParagraph"/>
              <w:ind w:left="780"/>
              <w:rPr>
                <w:rFonts w:ascii="Arial" w:hAnsi="Arial" w:cs="Arial"/>
                <w:highlight w:val="yellow"/>
              </w:rPr>
            </w:pPr>
          </w:p>
          <w:p>
            <w:pPr>
              <w:rPr>
                <w:rFonts w:ascii="Arial" w:hAnsi="Arial" w:cs="Arial"/>
                <w:highlight w:val="yellow"/>
              </w:rPr>
            </w:pPr>
            <w:r>
              <w:rPr>
                <w:rFonts w:ascii="Arial" w:hAnsi="Arial" w:cs="Arial"/>
              </w:rPr>
              <w:t>Year 3: October 1, 2025 - September 30,2026</w:t>
            </w:r>
          </w:p>
        </w:tc>
        <w:tc>
          <w:tcPr>
            <w:tcW w:w="2970" w:type="dxa"/>
            <w:vAlign w:val="center"/>
          </w:tcPr>
          <w:p>
            <w:pPr>
              <w:rPr>
                <w:rFonts w:ascii="Arial" w:hAnsi="Arial" w:cs="Arial"/>
                <w:sz w:val="24"/>
                <w:szCs w:val="24"/>
              </w:rPr>
            </w:pPr>
            <w:r>
              <w:rPr>
                <w:rFonts w:ascii="Arial" w:hAnsi="Arial" w:cs="Arial"/>
                <w:sz w:val="24"/>
                <w:szCs w:val="24"/>
              </w:rPr>
              <w:t>$</w:t>
            </w:r>
          </w:p>
        </w:tc>
      </w:tr>
      <w:tr>
        <w:trPr>
          <w:cantSplit/>
          <w:trHeight w:val="890"/>
          <w:tblHeader/>
        </w:trPr>
        <w:tc>
          <w:tcPr>
            <w:tcW w:w="9985" w:type="dxa"/>
          </w:tcPr>
          <w:p>
            <w:pPr>
              <w:rPr>
                <w:rFonts w:ascii="Arial" w:hAnsi="Arial" w:cs="Arial"/>
                <w:highlight w:val="yellow"/>
              </w:rPr>
            </w:pPr>
          </w:p>
          <w:p>
            <w:pPr>
              <w:rPr>
                <w:rFonts w:ascii="Arial" w:hAnsi="Arial" w:cs="Arial"/>
                <w:highlight w:val="yellow"/>
              </w:rPr>
            </w:pPr>
            <w:r>
              <w:rPr>
                <w:rFonts w:ascii="Arial" w:hAnsi="Arial" w:cs="Arial"/>
              </w:rPr>
              <w:t>Year 4: October 1, 2026 – September 30, 2027</w:t>
            </w:r>
          </w:p>
        </w:tc>
        <w:tc>
          <w:tcPr>
            <w:tcW w:w="2970" w:type="dxa"/>
            <w:vAlign w:val="center"/>
          </w:tcPr>
          <w:p>
            <w:pPr>
              <w:rPr>
                <w:rFonts w:ascii="Arial" w:hAnsi="Arial" w:cs="Arial"/>
                <w:sz w:val="24"/>
                <w:szCs w:val="24"/>
              </w:rPr>
            </w:pPr>
            <w:r>
              <w:rPr>
                <w:rFonts w:ascii="Arial" w:hAnsi="Arial" w:cs="Arial"/>
                <w:sz w:val="24"/>
                <w:szCs w:val="24"/>
              </w:rPr>
              <w:t>$</w:t>
            </w:r>
          </w:p>
        </w:tc>
      </w:tr>
      <w:tr>
        <w:trPr>
          <w:cantSplit/>
          <w:trHeight w:val="800"/>
          <w:tblHeader/>
        </w:trPr>
        <w:tc>
          <w:tcPr>
            <w:tcW w:w="9985" w:type="dxa"/>
          </w:tcPr>
          <w:p>
            <w:pPr>
              <w:rPr>
                <w:rFonts w:ascii="Arial" w:hAnsi="Arial" w:cs="Arial"/>
                <w:b/>
                <w:bCs/>
                <w:sz w:val="20"/>
                <w:szCs w:val="20"/>
              </w:rPr>
            </w:pPr>
          </w:p>
          <w:p>
            <w:pPr>
              <w:rPr>
                <w:rFonts w:ascii="Arial" w:hAnsi="Arial" w:cs="Arial"/>
              </w:rPr>
            </w:pPr>
            <w:r>
              <w:rPr>
                <w:rFonts w:ascii="Arial" w:hAnsi="Arial" w:cs="Arial"/>
              </w:rPr>
              <w:t xml:space="preserve">Year 5: October 1, 2027 – September 20,2028                                                                                                                                                        </w:t>
            </w:r>
          </w:p>
        </w:tc>
        <w:tc>
          <w:tcPr>
            <w:tcW w:w="2970" w:type="dxa"/>
            <w:vAlign w:val="center"/>
          </w:tcPr>
          <w:p>
            <w:pPr>
              <w:rPr>
                <w:rFonts w:ascii="Arial" w:hAnsi="Arial" w:cs="Arial"/>
                <w:sz w:val="24"/>
                <w:szCs w:val="24"/>
              </w:rPr>
            </w:pPr>
            <w:r>
              <w:rPr>
                <w:rFonts w:ascii="Arial" w:hAnsi="Arial" w:cs="Arial"/>
                <w:sz w:val="24"/>
                <w:szCs w:val="24"/>
              </w:rPr>
              <w:t>$</w:t>
            </w:r>
          </w:p>
        </w:tc>
      </w:tr>
      <w:tr>
        <w:trPr>
          <w:cantSplit/>
          <w:trHeight w:val="350"/>
          <w:tblHeader/>
        </w:trPr>
        <w:tc>
          <w:tcPr>
            <w:tcW w:w="9985" w:type="dxa"/>
          </w:tcPr>
          <w:p>
            <w:pPr>
              <w:rPr>
                <w:rFonts w:ascii="Arial" w:hAnsi="Arial" w:cs="Arial"/>
                <w:b/>
                <w:bCs/>
                <w:sz w:val="24"/>
                <w:szCs w:val="24"/>
              </w:rPr>
            </w:pPr>
            <w:r>
              <w:rPr>
                <w:rFonts w:ascii="Arial" w:hAnsi="Arial" w:cs="Arial"/>
                <w:b/>
                <w:bCs/>
                <w:sz w:val="24"/>
                <w:szCs w:val="24"/>
              </w:rPr>
              <w:t xml:space="preserve">DESCRIPTION: Annual Fixed Prices </w:t>
            </w:r>
            <w:proofErr w:type="gramStart"/>
            <w:r>
              <w:rPr>
                <w:rFonts w:ascii="Arial" w:hAnsi="Arial" w:cs="Arial"/>
                <w:b/>
                <w:bCs/>
                <w:sz w:val="24"/>
                <w:szCs w:val="24"/>
              </w:rPr>
              <w:t>For</w:t>
            </w:r>
            <w:proofErr w:type="gramEnd"/>
            <w:r>
              <w:rPr>
                <w:rFonts w:ascii="Arial" w:hAnsi="Arial" w:cs="Arial"/>
                <w:b/>
                <w:bCs/>
                <w:sz w:val="24"/>
                <w:szCs w:val="24"/>
              </w:rPr>
              <w:t xml:space="preserve"> Renewals 1 and 2.</w:t>
            </w:r>
          </w:p>
        </w:tc>
        <w:tc>
          <w:tcPr>
            <w:tcW w:w="2970" w:type="dxa"/>
            <w:vAlign w:val="center"/>
          </w:tcPr>
          <w:p>
            <w:pPr>
              <w:rPr>
                <w:rFonts w:ascii="Arial" w:hAnsi="Arial" w:cs="Arial"/>
                <w:sz w:val="24"/>
                <w:szCs w:val="24"/>
              </w:rPr>
            </w:pPr>
          </w:p>
        </w:tc>
      </w:tr>
      <w:tr>
        <w:trPr>
          <w:cantSplit/>
          <w:trHeight w:val="710"/>
          <w:tblHeader/>
        </w:trPr>
        <w:tc>
          <w:tcPr>
            <w:tcW w:w="9985" w:type="dxa"/>
          </w:tcPr>
          <w:p>
            <w:pPr>
              <w:rPr>
                <w:rFonts w:ascii="Arial" w:hAnsi="Arial" w:cs="Arial"/>
                <w:sz w:val="24"/>
                <w:szCs w:val="24"/>
              </w:rPr>
            </w:pPr>
          </w:p>
          <w:p>
            <w:pPr>
              <w:rPr>
                <w:rFonts w:ascii="Arial" w:hAnsi="Arial" w:cs="Arial"/>
              </w:rPr>
            </w:pPr>
            <w:r>
              <w:rPr>
                <w:rFonts w:ascii="Arial" w:hAnsi="Arial" w:cs="Arial"/>
              </w:rPr>
              <w:t>Renewal One: Year 6- October 1, 2028 – September 30, 2029</w:t>
            </w:r>
          </w:p>
        </w:tc>
        <w:tc>
          <w:tcPr>
            <w:tcW w:w="2970" w:type="dxa"/>
            <w:vAlign w:val="center"/>
          </w:tcPr>
          <w:p>
            <w:pPr>
              <w:rPr>
                <w:rFonts w:ascii="Arial" w:hAnsi="Arial" w:cs="Arial"/>
                <w:sz w:val="24"/>
                <w:szCs w:val="24"/>
              </w:rPr>
            </w:pPr>
            <w:r>
              <w:rPr>
                <w:rFonts w:ascii="Arial" w:hAnsi="Arial" w:cs="Arial"/>
                <w:sz w:val="24"/>
                <w:szCs w:val="24"/>
              </w:rPr>
              <w:t>$</w:t>
            </w:r>
          </w:p>
        </w:tc>
      </w:tr>
      <w:tr>
        <w:trPr>
          <w:cantSplit/>
          <w:trHeight w:val="710"/>
          <w:tblHeader/>
        </w:trPr>
        <w:tc>
          <w:tcPr>
            <w:tcW w:w="9985" w:type="dxa"/>
          </w:tcPr>
          <w:p>
            <w:pPr>
              <w:rPr>
                <w:rFonts w:ascii="Arial" w:hAnsi="Arial" w:cs="Arial"/>
                <w:sz w:val="24"/>
                <w:szCs w:val="24"/>
              </w:rPr>
            </w:pPr>
          </w:p>
          <w:p>
            <w:pPr>
              <w:rPr>
                <w:rFonts w:ascii="Arial" w:hAnsi="Arial" w:cs="Arial"/>
                <w:sz w:val="24"/>
                <w:szCs w:val="24"/>
              </w:rPr>
            </w:pPr>
            <w:r>
              <w:rPr>
                <w:rFonts w:ascii="Arial" w:hAnsi="Arial" w:cs="Arial"/>
              </w:rPr>
              <w:t xml:space="preserve">Renewal One: </w:t>
            </w:r>
            <w:proofErr w:type="gramStart"/>
            <w:r>
              <w:rPr>
                <w:rFonts w:ascii="Arial" w:hAnsi="Arial" w:cs="Arial"/>
              </w:rPr>
              <w:t>Year  7</w:t>
            </w:r>
            <w:proofErr w:type="gramEnd"/>
            <w:r>
              <w:rPr>
                <w:rFonts w:ascii="Arial" w:hAnsi="Arial" w:cs="Arial"/>
              </w:rPr>
              <w:t xml:space="preserve"> - October 1, 2029 – September 30, 2030</w:t>
            </w:r>
          </w:p>
        </w:tc>
        <w:tc>
          <w:tcPr>
            <w:tcW w:w="2970" w:type="dxa"/>
            <w:vAlign w:val="center"/>
          </w:tcPr>
          <w:p>
            <w:pPr>
              <w:rPr>
                <w:rFonts w:ascii="Arial" w:hAnsi="Arial" w:cs="Arial"/>
                <w:sz w:val="24"/>
                <w:szCs w:val="24"/>
              </w:rPr>
            </w:pPr>
            <w:r>
              <w:rPr>
                <w:rFonts w:ascii="Arial" w:hAnsi="Arial" w:cs="Arial"/>
                <w:sz w:val="24"/>
                <w:szCs w:val="24"/>
              </w:rPr>
              <w:t>$</w:t>
            </w:r>
          </w:p>
        </w:tc>
      </w:tr>
      <w:tr>
        <w:trPr>
          <w:cantSplit/>
          <w:trHeight w:val="710"/>
          <w:tblHeader/>
        </w:trPr>
        <w:tc>
          <w:tcPr>
            <w:tcW w:w="9985" w:type="dxa"/>
          </w:tcPr>
          <w:p>
            <w:pPr>
              <w:rPr>
                <w:rFonts w:ascii="Arial" w:hAnsi="Arial" w:cs="Arial"/>
                <w:sz w:val="24"/>
                <w:szCs w:val="24"/>
              </w:rPr>
            </w:pPr>
          </w:p>
          <w:p>
            <w:pPr>
              <w:rPr>
                <w:rFonts w:ascii="Arial" w:hAnsi="Arial" w:cs="Arial"/>
                <w:sz w:val="24"/>
                <w:szCs w:val="24"/>
              </w:rPr>
            </w:pPr>
            <w:r>
              <w:rPr>
                <w:rFonts w:ascii="Arial" w:hAnsi="Arial" w:cs="Arial"/>
              </w:rPr>
              <w:t>Renewal One: Year 8 - October 1, 2030 – September 30, 2031</w:t>
            </w:r>
          </w:p>
        </w:tc>
        <w:tc>
          <w:tcPr>
            <w:tcW w:w="2970" w:type="dxa"/>
            <w:vAlign w:val="center"/>
          </w:tcPr>
          <w:p>
            <w:pPr>
              <w:rPr>
                <w:rFonts w:ascii="Arial" w:hAnsi="Arial" w:cs="Arial"/>
                <w:sz w:val="24"/>
                <w:szCs w:val="24"/>
              </w:rPr>
            </w:pPr>
            <w:r>
              <w:rPr>
                <w:rFonts w:ascii="Arial" w:hAnsi="Arial" w:cs="Arial"/>
                <w:sz w:val="24"/>
                <w:szCs w:val="24"/>
              </w:rPr>
              <w:t>$</w:t>
            </w:r>
          </w:p>
        </w:tc>
      </w:tr>
      <w:tr>
        <w:trPr>
          <w:cantSplit/>
          <w:trHeight w:val="710"/>
          <w:tblHeader/>
        </w:trPr>
        <w:tc>
          <w:tcPr>
            <w:tcW w:w="9985" w:type="dxa"/>
          </w:tcPr>
          <w:p>
            <w:pPr>
              <w:rPr>
                <w:rFonts w:ascii="Arial" w:hAnsi="Arial" w:cs="Arial"/>
                <w:sz w:val="24"/>
                <w:szCs w:val="24"/>
              </w:rPr>
            </w:pPr>
          </w:p>
          <w:p>
            <w:pPr>
              <w:rPr>
                <w:rFonts w:ascii="Arial" w:hAnsi="Arial" w:cs="Arial"/>
              </w:rPr>
            </w:pPr>
            <w:r>
              <w:rPr>
                <w:rFonts w:ascii="Arial" w:hAnsi="Arial" w:cs="Arial"/>
              </w:rPr>
              <w:t>Renewal Two: Year 9 - October 1, 2031 – September 30, 2032</w:t>
            </w:r>
          </w:p>
        </w:tc>
        <w:tc>
          <w:tcPr>
            <w:tcW w:w="2970" w:type="dxa"/>
            <w:vAlign w:val="center"/>
          </w:tcPr>
          <w:p>
            <w:pPr>
              <w:rPr>
                <w:rFonts w:ascii="Arial" w:hAnsi="Arial" w:cs="Arial"/>
                <w:sz w:val="24"/>
                <w:szCs w:val="24"/>
              </w:rPr>
            </w:pPr>
            <w:r>
              <w:rPr>
                <w:rFonts w:ascii="Arial" w:hAnsi="Arial" w:cs="Arial"/>
                <w:sz w:val="24"/>
                <w:szCs w:val="24"/>
              </w:rPr>
              <w:t>$</w:t>
            </w:r>
          </w:p>
        </w:tc>
      </w:tr>
      <w:tr>
        <w:trPr>
          <w:cantSplit/>
          <w:trHeight w:val="710"/>
          <w:tblHeader/>
        </w:trPr>
        <w:tc>
          <w:tcPr>
            <w:tcW w:w="9985" w:type="dxa"/>
          </w:tcPr>
          <w:p>
            <w:pPr>
              <w:rPr>
                <w:rFonts w:ascii="Arial" w:hAnsi="Arial" w:cs="Arial"/>
                <w:sz w:val="24"/>
                <w:szCs w:val="24"/>
              </w:rPr>
            </w:pPr>
          </w:p>
          <w:p>
            <w:pPr>
              <w:rPr>
                <w:rFonts w:ascii="Arial" w:hAnsi="Arial" w:cs="Arial"/>
                <w:sz w:val="24"/>
                <w:szCs w:val="24"/>
              </w:rPr>
            </w:pPr>
            <w:r>
              <w:rPr>
                <w:rFonts w:ascii="Arial" w:hAnsi="Arial" w:cs="Arial"/>
              </w:rPr>
              <w:t>Renewal Two: Year 10 - October 1, 2032 – September 30, 2033</w:t>
            </w:r>
          </w:p>
        </w:tc>
        <w:tc>
          <w:tcPr>
            <w:tcW w:w="2970" w:type="dxa"/>
            <w:vAlign w:val="center"/>
          </w:tcPr>
          <w:p>
            <w:pPr>
              <w:rPr>
                <w:rFonts w:ascii="Arial" w:hAnsi="Arial" w:cs="Arial"/>
                <w:sz w:val="24"/>
                <w:szCs w:val="24"/>
              </w:rPr>
            </w:pPr>
            <w:r>
              <w:rPr>
                <w:rFonts w:ascii="Arial" w:hAnsi="Arial" w:cs="Arial"/>
                <w:sz w:val="24"/>
                <w:szCs w:val="24"/>
              </w:rPr>
              <w:t>$</w:t>
            </w:r>
          </w:p>
        </w:tc>
      </w:tr>
      <w:tr>
        <w:trPr>
          <w:cantSplit/>
          <w:trHeight w:val="710"/>
          <w:tblHeader/>
        </w:trPr>
        <w:tc>
          <w:tcPr>
            <w:tcW w:w="9985" w:type="dxa"/>
          </w:tcPr>
          <w:p>
            <w:pPr>
              <w:rPr>
                <w:rFonts w:ascii="Arial" w:hAnsi="Arial" w:cs="Arial"/>
                <w:sz w:val="24"/>
                <w:szCs w:val="24"/>
              </w:rPr>
            </w:pPr>
          </w:p>
          <w:p>
            <w:pPr>
              <w:rPr>
                <w:rFonts w:ascii="Arial" w:hAnsi="Arial" w:cs="Arial"/>
                <w:sz w:val="24"/>
                <w:szCs w:val="24"/>
              </w:rPr>
            </w:pPr>
            <w:r>
              <w:rPr>
                <w:rFonts w:ascii="Arial" w:hAnsi="Arial" w:cs="Arial"/>
              </w:rPr>
              <w:t>Renewal Two: Year 11 - October 1, 2033 – September 30, 2034</w:t>
            </w:r>
          </w:p>
        </w:tc>
        <w:tc>
          <w:tcPr>
            <w:tcW w:w="2970" w:type="dxa"/>
            <w:vAlign w:val="center"/>
          </w:tcPr>
          <w:p>
            <w:pPr>
              <w:rPr>
                <w:rFonts w:ascii="Arial" w:hAnsi="Arial" w:cs="Arial"/>
                <w:sz w:val="24"/>
                <w:szCs w:val="24"/>
              </w:rPr>
            </w:pPr>
            <w:r>
              <w:rPr>
                <w:rFonts w:ascii="Arial" w:hAnsi="Arial" w:cs="Arial"/>
                <w:sz w:val="24"/>
                <w:szCs w:val="24"/>
              </w:rPr>
              <w:t>$</w:t>
            </w:r>
          </w:p>
        </w:tc>
      </w:tr>
    </w:tbl>
    <w:p>
      <w:pPr>
        <w:spacing w:after="0"/>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sectPr>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A37"/>
    <w:multiLevelType w:val="hybridMultilevel"/>
    <w:tmpl w:val="3E186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E272A"/>
    <w:multiLevelType w:val="hybridMultilevel"/>
    <w:tmpl w:val="802C99D0"/>
    <w:lvl w:ilvl="0" w:tplc="FFFFFFFF">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2EF0D9F"/>
    <w:multiLevelType w:val="hybridMultilevel"/>
    <w:tmpl w:val="F058E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802AA"/>
    <w:multiLevelType w:val="hybridMultilevel"/>
    <w:tmpl w:val="8312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509BD"/>
    <w:multiLevelType w:val="hybridMultilevel"/>
    <w:tmpl w:val="C5106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621F6"/>
    <w:multiLevelType w:val="hybridMultilevel"/>
    <w:tmpl w:val="3E186A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A93C5D"/>
    <w:multiLevelType w:val="hybridMultilevel"/>
    <w:tmpl w:val="442A7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7CB7"/>
    <w:multiLevelType w:val="hybridMultilevel"/>
    <w:tmpl w:val="CD747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87B62"/>
    <w:multiLevelType w:val="hybridMultilevel"/>
    <w:tmpl w:val="E8861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60A2E"/>
    <w:multiLevelType w:val="hybridMultilevel"/>
    <w:tmpl w:val="CCB02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878C2"/>
    <w:multiLevelType w:val="hybridMultilevel"/>
    <w:tmpl w:val="B3EACCB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183499">
    <w:abstractNumId w:val="10"/>
  </w:num>
  <w:num w:numId="2" w16cid:durableId="334695810">
    <w:abstractNumId w:val="2"/>
  </w:num>
  <w:num w:numId="3" w16cid:durableId="92823307">
    <w:abstractNumId w:val="4"/>
  </w:num>
  <w:num w:numId="4" w16cid:durableId="1363627569">
    <w:abstractNumId w:val="7"/>
  </w:num>
  <w:num w:numId="5" w16cid:durableId="1000617144">
    <w:abstractNumId w:val="9"/>
  </w:num>
  <w:num w:numId="6" w16cid:durableId="1693535171">
    <w:abstractNumId w:val="6"/>
  </w:num>
  <w:num w:numId="7" w16cid:durableId="1779174258">
    <w:abstractNumId w:val="0"/>
  </w:num>
  <w:num w:numId="8" w16cid:durableId="607811256">
    <w:abstractNumId w:val="8"/>
  </w:num>
  <w:num w:numId="9" w16cid:durableId="741104174">
    <w:abstractNumId w:val="3"/>
  </w:num>
  <w:num w:numId="10" w16cid:durableId="1431505585">
    <w:abstractNumId w:val="5"/>
  </w:num>
  <w:num w:numId="11" w16cid:durableId="156659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294802D-E03E-4FA2-BE79-BF934562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ding_x0020_Source xmlns="145fd85a-e86f-4392-ab15-fd3ffc15a3e1">state and federal funds</Funding_x0020_Source>
    <Lead_x0020_OPG_x0020_Contact xmlns="e3709f45-ee57-4ddf-8078-855eb8d761aa" xsi:nil="true"/>
    <Legal_x0020_Approval xmlns="e3709f45-ee57-4ddf-8078-855eb8d761aa" xsi:nil="true"/>
    <Programs xmlns="145fd85a-e86f-4392-ab15-fd3ffc15a3e1">CSE</Programs>
    <E1_x0020__x0023_ xmlns="145fd85a-e86f-4392-ab15-fd3ffc15a3e1" xsi:nil="true"/>
    <Est._x0020__x0024__x0020_Amount xmlns="145fd85a-e86f-4392-ab15-fd3ffc15a3e1" xsi:nil="true"/>
    <Cost_x0020_Avoidance_x0020_Method xmlns="145fd85a-e86f-4392-ab15-fd3ffc15a3e1" xsi:nil="true"/>
    <DocumentSetDescription xmlns="http://schemas.microsoft.com/sharepoint/v3">CSE Call Center</DocumentSetDescription>
    <Buyer xmlns="145fd85a-e86f-4392-ab15-fd3ffc15a3e1">
      <UserInfo>
        <DisplayName>Mike St. Cin</DisplayName>
        <AccountId>6100</AccountId>
        <AccountType/>
      </UserInfo>
    </Buyer>
    <Stakeholders xmlns="145fd85a-e86f-4392-ab15-fd3ffc15a3e1">
      <UserInfo>
        <DisplayName>Lisa Schafers</DisplayName>
        <AccountId>1071</AccountId>
        <AccountType/>
      </UserInfo>
      <UserInfo>
        <DisplayName>Misty Christo</DisplayName>
        <AccountId>18069</AccountId>
        <AccountType/>
      </UserInfo>
      <UserInfo>
        <DisplayName>Lisa McNeece</DisplayName>
        <AccountId>2959</AccountId>
        <AccountType/>
      </UserInfo>
      <UserInfo>
        <DisplayName>Wes Nespor</DisplayName>
        <AccountId>1785</AccountId>
        <AccountType/>
      </UserInfo>
      <UserInfo>
        <DisplayName>Rita Schwabe</DisplayName>
        <AccountId>23935</AccountId>
        <AccountType/>
      </UserInfo>
    </Stakeholders>
    <Deviation xmlns="145fd85a-e86f-4392-ab15-fd3ffc15a3e1">No</Deviation>
    <Contract_x0020_Exp._x0020_Date xmlns="145fd85a-e86f-4392-ab15-fd3ffc15a3e1" xsi:nil="true"/>
    <RFP_x0020_Contacts xmlns="145fd85a-e86f-4392-ab15-fd3ffc15a3e1">
      <UserInfo>
        <DisplayName>Margaret Ewing</DisplayName>
        <AccountId>1292</AccountId>
        <AccountType/>
      </UserInfo>
      <UserInfo>
        <DisplayName>Cindy Wiesen</DisplayName>
        <AccountId>606</AccountId>
        <AccountType/>
      </UserInfo>
      <UserInfo>
        <DisplayName>Patti Reddick</DisplayName>
        <AccountId>926</AccountId>
        <AccountType/>
      </UserInfo>
      <UserInfo>
        <DisplayName>Stephen Havelka</DisplayName>
        <AccountId>1285</AccountId>
        <AccountType/>
      </UserInfo>
      <UserInfo>
        <DisplayName>Wes Nespor</DisplayName>
        <AccountId>1785</AccountId>
        <AccountType/>
      </UserInfo>
      <UserInfo>
        <DisplayName>Rachel Schmidt</DisplayName>
        <AccountId>14737</AccountId>
        <AccountType/>
      </UserInfo>
      <UserInfo>
        <DisplayName>Rachel Baum</DisplayName>
        <AccountId>23839</AccountId>
        <AccountType/>
      </UserInfo>
      <UserInfo>
        <DisplayName>Lisa McNeece</DisplayName>
        <AccountId>2959</AccountId>
        <AccountType/>
      </UserInfo>
    </RFP_x0020_Contacts>
    <RFP_x0020_Status xmlns="145fd85a-e86f-4392-ab15-fd3ffc15a3e1">Return for Edit</RFP_x0020_Status>
    <Release_x0020_Date xmlns="145fd85a-e86f-4392-ab15-fd3ffc15a3e1" xsi:nil="true"/>
    <DAS_x0020_Status xmlns="145fd85a-e86f-4392-ab15-fd3ffc15a3e1" xsi:nil="true"/>
    <Divisions xmlns="145fd85a-e86f-4392-ab15-fd3ffc15a3e1">
      <Value>Child &amp; Family Services</Value>
    </Divisions>
    <Backup_x0020_Buyer xmlns="e3709f45-ee57-4ddf-8078-855eb8d761aa" xsi:nil="true"/>
    <Target_x0020_Date xmlns="145fd85a-e86f-4392-ab15-fd3ffc15a3e1">2022-07-01T05:00:00+00:00</Target_x0020_Date>
    <SPB_x0020_Processed xmlns="145fd85a-e86f-4392-ab15-fd3ffc15a3e1">Agency</SPB_x0020_Processed>
    <Date_x0020_Sent_x0020_for_x0020_PROC_x0020_Review xmlns="145fd85a-e86f-4392-ab15-fd3ffc15a3e1" xsi:nil="true"/>
    <Cost_x0020_Avoidance xmlns="145fd85a-e86f-4392-ab15-fd3ffc15a3e1" xsi:nil="true"/>
    <Date_x0020_sent_x0020_to_x0020_DAS xmlns="e3709f45-ee57-4ddf-8078-855eb8d761aa" xsi:nil="true"/>
    <DAS_x0020_Buyer xmlns="145fd85a-e86f-4392-ab15-fd3ffc15a3e1" xsi:nil="true"/>
    <Bid_x0020_Type xmlns="145fd85a-e86f-4392-ab15-fd3ffc15a3e1">RFP</Bid_x0020_Type>
  </documentManagement>
</p:properties>
</file>

<file path=customXml/item4.xml><?xml version="1.0" encoding="utf-8"?>
<ct:contentTypeSchema xmlns:ct="http://schemas.microsoft.com/office/2006/metadata/contentType" xmlns:ma="http://schemas.microsoft.com/office/2006/metadata/properties/metaAttributes" ct:_="" ma:_="" ma:contentTypeName="Cost Sheet" ma:contentTypeID="0x010100DCE0C6E29656A14F93FF30B8EEF568EA00C641598ED184924681B6AB974CF10DC6" ma:contentTypeVersion="11" ma:contentTypeDescription="" ma:contentTypeScope="" ma:versionID="1979947c034c6b05096cd6d4f3033f78">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b7a62046ca4b554d2e9de7588dec52e1"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element ref="ns3:RFP_x0020_Status" minOccurs="0"/>
                <xsd:element ref="ns3:Date_x0020_Sent_x0020_for_x0020_PROC_x0020_Review" minOccurs="0"/>
                <xsd:element ref="ns3:Release_x0020_Date" minOccurs="0"/>
                <xsd:element ref="ns3:Cost_x0020_Avoidance_x0020_Method" minOccurs="0"/>
                <xsd:element ref="ns3:Cost_x0020_Avoidance" minOccurs="0"/>
                <xsd:element ref="ns3:Funding_x0020_Source" minOccurs="0"/>
                <xsd:element ref="ns2:Date_x0020_sent_x0020_to_x0020_DAS" minOccurs="0"/>
                <xsd:element ref="ns2:Backup_x0020_Buyer" minOccurs="0"/>
                <xsd:element ref="ns2: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0" nillable="true" ma:displayName="Date sent to DAS" ma:format="DateOnly" ma:internalName="Date_x0020_sent_x0020_to_x0020_DAS">
      <xsd:simpleType>
        <xsd:restriction base="dms:DateTime"/>
      </xsd:simpleType>
    </xsd:element>
    <xsd:element name="Backup_x0020_Buyer" ma:index="31" nillable="true" ma:displayName="Backup OPG Contact" ma:list="{0ff31e51-d13c-4777-8ff6-56a65292f0cd}" ma:internalName="Backup_x0020_Buyer" ma:showField="FullName">
      <xsd:simpleType>
        <xsd:restriction base="dms:Lookup"/>
      </xsd:simpleType>
    </xsd:element>
    <xsd:element name="Lead_x0020_OPG_x0020_Contact" ma:index="32"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9"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0"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1"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2"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3"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4"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5"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7" nillable="true" ma:displayName="DAS Buyer" ma:description="State Purchasing Buyer Assignment" ma:internalName="DAS_x0020_Buyer" ma:readOnly="false">
      <xsd:simpleType>
        <xsd:restriction base="dms:Text">
          <xsd:maxLength value="255"/>
        </xsd:restriction>
      </xsd:simpleType>
    </xsd:element>
    <xsd:element name="SPB_x0020_Processed" ma:index="18"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9"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20"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1"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2"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3"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4"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Date_x0020_Sent_x0020_for_x0020_PROC_x0020_Review" ma:index="25"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6"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7"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8" nillable="true" ma:displayName="Cost Avoidance" ma:description="Cost avoidance/saving amount" ma:LCID="1033" ma:internalName="Cost_x0020_Avoidance" ma:readOnly="false">
      <xsd:simpleType>
        <xsd:restriction base="dms:Currency"/>
      </xsd:simpleType>
    </xsd:element>
    <xsd:element name="Funding_x0020_Source" ma:index="2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F0487-ABC5-401A-9C66-06F0EECAFF86}">
  <ds:schemaRefs>
    <ds:schemaRef ds:uri="http://schemas.microsoft.com/office/2006/metadata/customXsn"/>
  </ds:schemaRefs>
</ds:datastoreItem>
</file>

<file path=customXml/itemProps2.xml><?xml version="1.0" encoding="utf-8"?>
<ds:datastoreItem xmlns:ds="http://schemas.openxmlformats.org/officeDocument/2006/customXml" ds:itemID="{B34A05C7-ECC6-476E-ACAB-3EB2CC5807A2}">
  <ds:schemaRefs>
    <ds:schemaRef ds:uri="http://schemas.microsoft.com/sharepoint/v3/contenttype/forms"/>
  </ds:schemaRefs>
</ds:datastoreItem>
</file>

<file path=customXml/itemProps3.xml><?xml version="1.0" encoding="utf-8"?>
<ds:datastoreItem xmlns:ds="http://schemas.openxmlformats.org/officeDocument/2006/customXml" ds:itemID="{05A12FD3-E236-412B-9F8C-B4379F07475C}">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3"/>
  </ds:schemaRefs>
</ds:datastoreItem>
</file>

<file path=customXml/itemProps4.xml><?xml version="1.0" encoding="utf-8"?>
<ds:datastoreItem xmlns:ds="http://schemas.openxmlformats.org/officeDocument/2006/customXml" ds:itemID="{89638EE6-F117-49E5-ABD5-7D449163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of NE, DAS-MAT/Purchasing</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Storant, Nancy</dc:creator>
  <cp:keywords/>
  <dc:description/>
  <cp:lastModifiedBy>St. Cin, Mike</cp:lastModifiedBy>
  <cp:revision>3</cp:revision>
  <cp:lastPrinted>2019-04-01T16:33:00Z</cp:lastPrinted>
  <dcterms:created xsi:type="dcterms:W3CDTF">2023-09-13T16:46:00Z</dcterms:created>
  <dcterms:modified xsi:type="dcterms:W3CDTF">2023-09-14T15:54:00Z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0x010100DCE0C6E29656A14F93FF30B8EEF568EA00C641598ED184924681B6AB974CF10DC6</vt:lpwstr>
  </property>
  <property fmtid="{D5CDD505-2E9C-101B-9397-08002B2CF9AE}" pid="9" name="_docset_NoMedatataSyncRequired">
    <vt:lpwstr>False</vt:lpwstr>
  </property>
</Properties>
</file>